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A3D8" w14:textId="77777777" w:rsidR="004D16CC" w:rsidRDefault="00FC122E" w:rsidP="00A502AF">
      <w:pPr>
        <w:pStyle w:val="PLIDOCTYPEForm"/>
      </w:pPr>
      <w:r>
        <w:t>Form 8</w:t>
      </w:r>
    </w:p>
    <w:p w14:paraId="09FD4D39" w14:textId="77777777" w:rsidR="004D16CC" w:rsidRDefault="00FC122E" w:rsidP="00A502AF">
      <w:pPr>
        <w:pStyle w:val="PLIFormTitle"/>
      </w:pPr>
      <w:r>
        <w:t>Plan of Distribution</w:t>
      </w:r>
    </w:p>
    <w:p w14:paraId="55882D37" w14:textId="2245EFE7" w:rsidR="00B91796" w:rsidRDefault="005E7762" w:rsidP="00B91796">
      <w:pPr>
        <w:pStyle w:val="PLIReleaseLineHide"/>
      </w:pPr>
      <w:r>
        <w:t>August 2022</w:t>
      </w:r>
    </w:p>
    <w:p w14:paraId="643B88F2" w14:textId="77777777" w:rsidR="004D16CC" w:rsidRDefault="00FC122E">
      <w:pPr>
        <w:pStyle w:val="PLIBodyText"/>
      </w:pPr>
      <w:r>
        <w:t>We may sell the securities from time to time pursuant to underwritten public offerings, negotiated transactions, block trades, or a combination of these methods. We may sell the securities to or through underwriters or dealers, through agents, or directly to one or more purchasers.</w:t>
      </w:r>
    </w:p>
    <w:p w14:paraId="5B019051" w14:textId="77777777" w:rsidR="004D16CC" w:rsidRDefault="00FC122E">
      <w:pPr>
        <w:pStyle w:val="PLIBodyText"/>
      </w:pPr>
      <w:r>
        <w:t>We may distribute securities from time to time in one or more transactions:</w:t>
      </w:r>
    </w:p>
    <w:p w14:paraId="660A5C8C" w14:textId="77777777" w:rsidR="004D16CC" w:rsidRDefault="00FC122E">
      <w:pPr>
        <w:pStyle w:val="PLIBullet1"/>
      </w:pPr>
      <w:r>
        <w:t xml:space="preserve">at a fixed price or prices, which may be </w:t>
      </w:r>
      <w:proofErr w:type="gramStart"/>
      <w:r>
        <w:t>changed;</w:t>
      </w:r>
      <w:proofErr w:type="gramEnd"/>
    </w:p>
    <w:p w14:paraId="368D60FE" w14:textId="77777777" w:rsidR="004D16CC" w:rsidRDefault="00FC122E">
      <w:pPr>
        <w:pStyle w:val="PLIBullet1"/>
      </w:pPr>
      <w:r>
        <w:t xml:space="preserve">at market prices prevailing at the time of </w:t>
      </w:r>
      <w:proofErr w:type="gramStart"/>
      <w:r>
        <w:t>sale;</w:t>
      </w:r>
      <w:proofErr w:type="gramEnd"/>
    </w:p>
    <w:p w14:paraId="68CECCF5" w14:textId="77777777" w:rsidR="004D16CC" w:rsidRDefault="00FC122E">
      <w:pPr>
        <w:pStyle w:val="PLIBullet1"/>
      </w:pPr>
      <w:r>
        <w:t>at prices related to such prevailing market prices; or</w:t>
      </w:r>
    </w:p>
    <w:p w14:paraId="6099C74A" w14:textId="77777777" w:rsidR="004D16CC" w:rsidRDefault="00FC122E">
      <w:pPr>
        <w:pStyle w:val="PLIBullet1"/>
      </w:pPr>
      <w:r>
        <w:t>at negotiated prices.</w:t>
      </w:r>
    </w:p>
    <w:p w14:paraId="067F5E7E" w14:textId="77777777" w:rsidR="004D16CC" w:rsidRDefault="00FC122E">
      <w:pPr>
        <w:pStyle w:val="PLIBodyText"/>
      </w:pPr>
      <w:r>
        <w:t>Unless stated otherwise in the applicable prospectus supplement, the obligations of any underwriters to purchase securities will be subject to certain conditions, and the underwriters will be obligated to purchase all of the applicable securities if any are purchased. If a dealer is used in a sale, we may sell the securities to the dealer as principal. The dealer may then resell the securities to the public at varying prices to be determined by the dealer at the time of resale.</w:t>
      </w:r>
    </w:p>
    <w:p w14:paraId="5F58BDDF" w14:textId="77777777" w:rsidR="004D16CC" w:rsidRDefault="00FC122E">
      <w:pPr>
        <w:pStyle w:val="PLIBodyText"/>
      </w:pPr>
      <w:r>
        <w:t xml:space="preserve">We or our agents may solicit offers to purchase securities from time to time. Unless stated otherwise in the applicable prospectus supplement, any agent will be acting on a </w:t>
      </w:r>
      <w:proofErr w:type="gramStart"/>
      <w:r>
        <w:t>best efforts</w:t>
      </w:r>
      <w:proofErr w:type="gramEnd"/>
      <w:r>
        <w:t xml:space="preserve"> basis for the period of its appointment.</w:t>
      </w:r>
    </w:p>
    <w:p w14:paraId="6A78F365" w14:textId="77777777" w:rsidR="004D16CC" w:rsidRDefault="00FC122E">
      <w:pPr>
        <w:pStyle w:val="PLIBodyText"/>
      </w:pPr>
      <w:r>
        <w:t xml:space="preserve">In connection with the sale of securities, underwriters or agents may receive compensation (in the form of discounts, concessions, or commissions) from us or from purchasers of securities for whom they may act as agents. Underwriters may sell securities to or through dealers, and such dealers, may receive compensation in the form of discounts, concessions, or commissions from the underwriters and/or commissions from the purchasers for whom they may act as agents. Underwriters, </w:t>
      </w:r>
      <w:proofErr w:type="gramStart"/>
      <w:r>
        <w:t>dealers</w:t>
      </w:r>
      <w:proofErr w:type="gramEnd"/>
      <w:r>
        <w:t xml:space="preserve"> and agents that participate in the distribution of securities may be deemed </w:t>
      </w:r>
      <w:r>
        <w:lastRenderedPageBreak/>
        <w:t>to be underwriters, as that term is defined in the U.S. Securities Act of 1933, as amended (the “</w:t>
      </w:r>
      <w:r>
        <w:rPr>
          <w:rStyle w:val="PLIUnderline"/>
        </w:rPr>
        <w:t>Securities Act</w:t>
      </w:r>
      <w:r>
        <w:t>”), and any discounts or commissions received by them from us, and any profits on the resale of the securities by them may be deemed to be underwriting discounts and commissions under the Securities Act. We will identify any such underwriter or agent, and we will describe any compensation paid to them in the related prospectus supplement.</w:t>
      </w:r>
    </w:p>
    <w:p w14:paraId="3D1E4C4C" w14:textId="77777777" w:rsidR="004D16CC" w:rsidRDefault="00FC122E">
      <w:pPr>
        <w:pStyle w:val="PLIBodyText"/>
      </w:pPr>
      <w:r>
        <w:t>Underwriters, dealers, and agents may be entitled under agreements with us to indemnification against and contribution toward certain civil liabilities, including liabilities under the Securities Act.</w:t>
      </w:r>
    </w:p>
    <w:p w14:paraId="4E61DAF2" w14:textId="77777777" w:rsidR="004D16CC" w:rsidRDefault="00FC122E">
      <w:pPr>
        <w:pStyle w:val="PLIBodyText"/>
      </w:pPr>
      <w:r>
        <w:t>If stated in the applicable prospectus supplement, we will authorize agents and underwriters to solicit offers by certain specified institutions or other persons to purchase securities at the public offering price set forth in the prospectus supplement under delayed delivery contracts providing for payment and delivery on a specified date in the future. Institutions with whom these contracts may be made include commercial and savings banks, insurance companies, pension funds, investment companies, educational and charitable institutions, and other institutions, but shall in all cases be subject to our approval. These contracts will be subject only to those conditions set forth in the applicable prospectus supplement and the applicable prospectus supplement will set forth the commission payable for solicitation of these contracts. The obligations of any purchaser under any such contract will be subject to the condition that the purchase of the securities shall not be prohibited at the time of delivery under the laws of the jurisdiction to which the purchaser is subject. The underwriters and other agents will not have any responsibility in respect of the validity or performance of these contracts.</w:t>
      </w:r>
    </w:p>
    <w:p w14:paraId="1B195FDE" w14:textId="77777777" w:rsidR="004D16CC" w:rsidRDefault="00FC122E">
      <w:pPr>
        <w:pStyle w:val="PLIBodyText"/>
      </w:pPr>
      <w:r>
        <w:t>The securities may or may not be listed on a national securities exchange or traded in the over-the-counter market, as set forth in the applicable prospectus supplement. No assurance can be given as to the liquidity of the trading market for any of our securities. Any underwriter may make a market in these securities. However, no underwriter will be obligated to do so, and any underwriter may discontinue any market making at any time, without prior notice.</w:t>
      </w:r>
    </w:p>
    <w:p w14:paraId="377F74FB" w14:textId="77777777" w:rsidR="004D16CC" w:rsidRDefault="00FC122E">
      <w:pPr>
        <w:pStyle w:val="PLIBodyText"/>
      </w:pPr>
      <w:r>
        <w:t xml:space="preserve">If underwriters or dealers are used in the sale, until the distribution of the securities is completed, SEC rules may limit the ability of any underwriters and selling group members to bid for and purchase the securities. As an exception to these rules, representatives of any underwriters are permitted to engage in certain transactions that stabilize the price of the </w:t>
      </w:r>
      <w:r>
        <w:lastRenderedPageBreak/>
        <w:t>securities. These transactions may consist of bids or purchases for the purpose of pegging, fixing, or maintaining the price of the securities. If the underwriters create a short position in the applicable securities in connection with any offering (in other words, if they sell more securities than are set forth on the cover page of the applicable prospectus supplement), the representatives of the underwriters may reduce that short position by purchasing securities in the open market. The representatives of the underwriters may also elect to reduce any short position by exercising all or part of any over-allotment option we may grant to the underwriters, as described in the prospectus supplement. The representatives of the underwriters may also impose a penalty bid on certain underwriters and selling group members. This means that if the representatives purchase securities in the open market to reduce the underwriters’ short position or to stabilize the price of the securities, they may reclaim the amount of the selling concession from the underwriters and selling group members who sold those shares as part of the offering.</w:t>
      </w:r>
    </w:p>
    <w:p w14:paraId="2FB796E7" w14:textId="77777777" w:rsidR="004D16CC" w:rsidRDefault="00FC122E">
      <w:pPr>
        <w:pStyle w:val="PLIBodyText"/>
      </w:pPr>
      <w:r>
        <w:t>In general, purchases of a security for the purpose of stabilization or to reduce a short position could cause the price of the security to be higher than it might be in the absence of those purchases. The imposition of a penalty bid might also have an effect on the price of the securities to the extent that it discourages resales of the securities. The transactions described above may have the effect of causing the price of the securities to be higher than it would otherwise be. If commenced, the representatives of the underwriters may discontinue any of the transactions at any time. In addition, the representatives of any underwriters may determine not to engage in those transactions or that those transactions, once commenced, may be discontinued without notice.</w:t>
      </w:r>
    </w:p>
    <w:p w14:paraId="3124EDF7" w14:textId="77777777" w:rsidR="004D16CC" w:rsidRDefault="00FC122E">
      <w:pPr>
        <w:pStyle w:val="PLIBodyText"/>
      </w:pPr>
      <w:r>
        <w:t>Certain of the underwriters or agents and their associates may engage in transactions with and perform services for us or our affiliates in the ordinary course of their respective businesses.</w:t>
      </w:r>
    </w:p>
    <w:sectPr w:rsidR="004D16CC"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2D3A" w14:textId="77777777" w:rsidR="00DA5A2D" w:rsidRDefault="00DA5A2D">
      <w:pPr>
        <w:spacing w:after="0" w:line="240" w:lineRule="auto"/>
      </w:pPr>
      <w:r>
        <w:separator/>
      </w:r>
    </w:p>
  </w:endnote>
  <w:endnote w:type="continuationSeparator" w:id="0">
    <w:p w14:paraId="4511CBB0" w14:textId="77777777" w:rsidR="00DA5A2D" w:rsidRDefault="00DA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DA6B" w14:textId="77777777" w:rsidR="005E7762" w:rsidRDefault="005E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6294A808" w14:textId="77777777" w:rsidR="00A00C42" w:rsidRDefault="00AC0868">
        <w:pPr>
          <w:pStyle w:val="Footer"/>
        </w:pPr>
        <w:r>
          <w:tab/>
        </w:r>
        <w:r>
          <w:tab/>
        </w:r>
        <w:r w:rsidR="00B91796">
          <w:fldChar w:fldCharType="begin"/>
        </w:r>
        <w:r>
          <w:instrText xml:space="preserve"> PAGE   \* MERGEFORMAT </w:instrText>
        </w:r>
        <w:r w:rsidR="00B91796">
          <w:fldChar w:fldCharType="separate"/>
        </w:r>
        <w:r w:rsidR="002F04CE">
          <w:rPr>
            <w:noProof/>
          </w:rPr>
          <w:t>3</w:t>
        </w:r>
        <w:r w:rsidR="00B9179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FB98" w14:textId="77777777" w:rsidR="005E7762" w:rsidRDefault="005E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F298" w14:textId="77777777" w:rsidR="00DA5A2D" w:rsidRDefault="00DA5A2D">
      <w:pPr>
        <w:spacing w:after="9" w:line="246" w:lineRule="auto"/>
        <w:ind w:left="742" w:right="1" w:hanging="562"/>
      </w:pPr>
      <w:r>
        <w:separator/>
      </w:r>
    </w:p>
  </w:footnote>
  <w:footnote w:type="continuationSeparator" w:id="0">
    <w:p w14:paraId="7BCB0360" w14:textId="77777777" w:rsidR="00DA5A2D" w:rsidRDefault="00DA5A2D">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BB5331E"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176C1B2"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E31D" w14:textId="701133E7" w:rsidR="00A77DA6" w:rsidRPr="005A62E4" w:rsidRDefault="001F54D0" w:rsidP="005A62E4">
    <w:pPr>
      <w:pStyle w:val="Header"/>
    </w:pPr>
    <w:r>
      <w:fldChar w:fldCharType="begin"/>
    </w:r>
    <w:r>
      <w:instrText xml:space="preserve"> FILENAME   \* MERGEFORMAT </w:instrText>
    </w:r>
    <w:r>
      <w:fldChar w:fldCharType="separate"/>
    </w:r>
    <w:r w:rsidR="005E7762">
      <w:rPr>
        <w:noProof/>
      </w:rPr>
      <w:t>Form08_Exempt_and_Hybrid_Securities_Offerings_4th_Edition_320116.docx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6817" w14:textId="77777777" w:rsidR="005E7762" w:rsidRDefault="005E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2EF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4D0"/>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04CE"/>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413"/>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1795"/>
    <w:rsid w:val="004637EE"/>
    <w:rsid w:val="00464E8F"/>
    <w:rsid w:val="00465627"/>
    <w:rsid w:val="0046566A"/>
    <w:rsid w:val="004657E4"/>
    <w:rsid w:val="00466DDA"/>
    <w:rsid w:val="00467AAE"/>
    <w:rsid w:val="0047145A"/>
    <w:rsid w:val="00476D31"/>
    <w:rsid w:val="00477A81"/>
    <w:rsid w:val="00480E8F"/>
    <w:rsid w:val="0048218B"/>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6CC"/>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762"/>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2EFB"/>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A7D65"/>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24DF"/>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02AF"/>
    <w:rsid w:val="00A5115A"/>
    <w:rsid w:val="00A529F6"/>
    <w:rsid w:val="00A53AD6"/>
    <w:rsid w:val="00A563D4"/>
    <w:rsid w:val="00A578F2"/>
    <w:rsid w:val="00A6027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1796"/>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5A2D"/>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22E"/>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FD5C"/>
  <w15:docId w15:val="{9F944FAE-FC42-4005-B0EF-39AE8D7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BF"/>
    <w:rPr>
      <w:rFonts w:eastAsiaTheme="minorHAnsi"/>
    </w:rPr>
  </w:style>
  <w:style w:type="paragraph" w:styleId="Heading1">
    <w:name w:val="heading 1"/>
    <w:next w:val="Normal"/>
    <w:link w:val="Heading1Char"/>
    <w:uiPriority w:val="9"/>
    <w:unhideWhenUsed/>
    <w:qFormat/>
    <w:rsid w:val="009024DF"/>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rsid w:val="009024DF"/>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rsid w:val="009024DF"/>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rsid w:val="009024DF"/>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rsid w:val="009024DF"/>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sid w:val="009024DF"/>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sid w:val="009024DF"/>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TEMPFMPLIOtherinfo">
    <w:name w:val="PLITEMP FM PLIOtherinfo"/>
    <w:basedOn w:val="Normal"/>
    <w:qFormat/>
    <w:rsid w:val="00A60272"/>
    <w:rPr>
      <w:rFonts w:ascii="Times New Roman" w:eastAsia="Times New Roman" w:hAnsi="Times New Roman" w:cs="Times New Roman"/>
      <w:color w:val="FF0000"/>
      <w:sz w:val="24"/>
      <w:szCs w:val="24"/>
    </w:rPr>
  </w:style>
  <w:style w:type="paragraph" w:customStyle="1" w:styleId="PLITEMPCellBodyList1Para">
    <w:name w:val="PLITEMP CellBody_List1Para"/>
    <w:basedOn w:val="Normal"/>
    <w:qFormat/>
    <w:rsid w:val="00A60272"/>
    <w:rPr>
      <w:rFonts w:ascii="Times New Roman" w:eastAsia="Times New Roman" w:hAnsi="Times New Roman" w:cs="Times New Roman"/>
      <w:color w:val="FF0000"/>
      <w:sz w:val="24"/>
      <w:szCs w:val="24"/>
    </w:rPr>
  </w:style>
  <w:style w:type="paragraph" w:customStyle="1" w:styleId="PLITEMPCellBodyList2Para">
    <w:name w:val="PLITEMP CellBody_List2Para"/>
    <w:basedOn w:val="Normal"/>
    <w:qFormat/>
    <w:rsid w:val="00A60272"/>
    <w:rPr>
      <w:rFonts w:ascii="Times New Roman" w:eastAsia="Times New Roman" w:hAnsi="Times New Roman" w:cs="Times New Roman"/>
      <w:color w:val="FF0000"/>
      <w:sz w:val="24"/>
      <w:szCs w:val="24"/>
    </w:rPr>
  </w:style>
  <w:style w:type="paragraph" w:customStyle="1" w:styleId="PLITEMPCurrentnessLine">
    <w:name w:val="PLITEMP CurrentnessLine"/>
    <w:basedOn w:val="Normal"/>
    <w:qFormat/>
    <w:rsid w:val="00A60272"/>
    <w:rPr>
      <w:rFonts w:ascii="Times New Roman" w:eastAsia="Times New Roman" w:hAnsi="Times New Roman" w:cs="Times New Roman"/>
      <w:color w:val="FF0000"/>
      <w:sz w:val="24"/>
      <w:szCs w:val="24"/>
      <w:lang w:val="fr-FR"/>
    </w:rPr>
  </w:style>
  <w:style w:type="character" w:customStyle="1" w:styleId="PLITEMPImageRefChar">
    <w:name w:val="PLITEMP ImageRef Char"/>
    <w:basedOn w:val="DefaultParagraphFont"/>
    <w:uiPriority w:val="1"/>
    <w:qFormat/>
    <w:rsid w:val="00A60272"/>
    <w:rPr>
      <w:color w:val="FF0000"/>
      <w:bdr w:val="none" w:sz="0" w:space="0" w:color="auto"/>
      <w:shd w:val="clear" w:color="auto" w:fill="FFC000"/>
    </w:rPr>
  </w:style>
  <w:style w:type="paragraph" w:styleId="Revision">
    <w:name w:val="Revision"/>
    <w:hidden/>
    <w:uiPriority w:val="99"/>
    <w:semiHidden/>
    <w:rsid w:val="0046179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PLI\286908%20MJC-XML_2_Word_local\Sources%20client\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38AD-84F0-4BD3-8D08-EA49DA58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6</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Rivela</cp:lastModifiedBy>
  <cp:revision>2</cp:revision>
  <cp:lastPrinted>2017-06-09T13:06:00Z</cp:lastPrinted>
  <dcterms:created xsi:type="dcterms:W3CDTF">2018-04-09T14:19:00Z</dcterms:created>
  <dcterms:modified xsi:type="dcterms:W3CDTF">2022-08-24T13:41:00Z</dcterms:modified>
</cp:coreProperties>
</file>